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4"/>
          <w:szCs w:val="34"/>
        </w:rPr>
        <w:t xml:space="preserve">RAJ TEJPAL KHATIK</w:t>
      </w:r>
    </w:p>
    <w:p>
      <w:pPr>
        <w:spacing w:after="30"/>
        <w:jc w:val="center"/>
      </w:pPr>
      <w:r>
        <w:rPr>
          <w:i/>
          <w:iCs/>
          <w:color w:val="444444"/>
          <w:sz w:val="19"/>
          <w:szCs w:val="19"/>
        </w:rPr>
        <w:t xml:space="preserve">AI/ML Engineer | Agentic AI Systems | GenAI Research</w:t>
      </w:r>
    </w:p>
    <w:p>
      <w:pPr>
        <w:spacing w:after="100"/>
        <w:jc w:val="center"/>
      </w:pPr>
      <w:r>
        <w:rPr>
          <w:sz w:val="17"/>
          <w:szCs w:val="17"/>
        </w:rPr>
        <w:t xml:space="preserve">London, UK   •   khatikraj2653@gmail.com   •   Raj.Khatik@warwick.ac.uk   •   +44 7799 394985</w:t>
      </w:r>
      <w:r>
        <w:rPr>
          <w:sz w:val="17"/>
          <w:szCs w:val="17"/>
        </w:rPr>
        <w:br/>
        <w:t xml:space="preserve">
</w:t>
      </w:r>
      <w:hyperlink w:history="1" r:id="rIdokm2gdwddr25aenoavza6">
        <w:r>
          <w:rPr>
            <w:rStyle w:val="Hyperlink"/>
            <w:color w:val="1155CC"/>
            <w:sz w:val="18"/>
            <w:szCs w:val="18"/>
            <w:u w:val="single"/>
          </w:rPr>
          <w:t xml:space="preserve">Portfolio</w:t>
        </w:r>
      </w:hyperlink>
      <w:r>
        <w:rPr>
          <w:sz w:val="17"/>
          <w:szCs w:val="17"/>
        </w:rPr>
        <w:t xml:space="preserve">   •   </w:t>
      </w:r>
      <w:hyperlink w:history="1" r:id="rIdm1h7niqu8knd1uz7ah3rs">
        <w:r>
          <w:rPr>
            <w:rStyle w:val="Hyperlink"/>
            <w:color w:val="1155CC"/>
            <w:sz w:val="18"/>
            <w:szCs w:val="18"/>
            <w:u w:val="single"/>
          </w:rPr>
          <w:t xml:space="preserve">LinkedIn</w:t>
        </w:r>
      </w:hyperlink>
      <w:r>
        <w:rPr>
          <w:sz w:val="17"/>
          <w:szCs w:val="17"/>
        </w:rPr>
        <w:t xml:space="preserve">   •   </w:t>
      </w:r>
      <w:hyperlink w:history="1" r:id="rIdujsvtok8aczw7tghqbicw">
        <w:r>
          <w:rPr>
            <w:rStyle w:val="Hyperlink"/>
            <w:color w:val="1155CC"/>
            <w:sz w:val="18"/>
            <w:szCs w:val="18"/>
            <w:u w:val="single"/>
          </w:rPr>
          <w:t xml:space="preserve">GitHub</w:t>
        </w:r>
      </w:hyperlink>
      <w:r>
        <w:rPr>
          <w:sz w:val="17"/>
          <w:szCs w:val="17"/>
        </w:rPr>
        <w:t xml:space="preserve">   •   ORCID: 0009-0009-0198-0120</w:t>
      </w:r>
    </w:p>
    <w:p>
      <w:pPr>
        <w:spacing w:after="100"/>
      </w:pPr>
      <w:r>
        <w:rPr>
          <w:sz w:val="18"/>
          <w:szCs w:val="18"/>
        </w:rPr>
        <w:t xml:space="preserve">Applied AI engineer completing an MSc in Applied Artificial Intelligence at the University of Warwick (WMG), with two years of prior industry experience in data analytics and ML engineering. I design multi-agent, retrieval-augmented systems — from causal-chain equity analysis to hallucination detection — and publish the research behind each one. Six systems deployed, four papers under peer review, dissertation complete. Open to AI/ML Engineer, GenAI Engineer, and Agentic AI roles, and exploring PhD positions in CS/AI and applied economics.</w:t>
      </w:r>
    </w:p>
    <w:p>
      <w:pPr>
        <w:pBdr>
          <w:bottom w:val="single" w:color="1F1F1F" w:sz="6" w:space="4"/>
        </w:pBdr>
        <w:spacing w:after="50" w:before="160"/>
      </w:pPr>
      <w:r>
        <w:rPr>
          <w:b/>
          <w:bCs/>
          <w:color w:val="1F1F1F"/>
          <w:sz w:val="21"/>
          <w:szCs w:val="21"/>
        </w:rPr>
        <w:t xml:space="preserve">TECHNICAL SKILLS</w:t>
      </w:r>
    </w:p>
    <w:p>
      <w:pPr>
        <w:spacing w:after="40"/>
      </w:pPr>
      <w:r>
        <w:rPr>
          <w:b/>
          <w:bCs/>
          <w:sz w:val="18"/>
          <w:szCs w:val="18"/>
        </w:rPr>
        <w:t xml:space="preserve">Programming &amp; Core: </w:t>
      </w:r>
      <w:r>
        <w:rPr>
          <w:sz w:val="18"/>
          <w:szCs w:val="18"/>
        </w:rPr>
        <w:t xml:space="preserve">Python, Data Structures, Algorithms, Probability &amp; Statistics, SQL/SQLite, Git/GitHub version control</w:t>
      </w:r>
    </w:p>
    <w:p>
      <w:pPr>
        <w:spacing w:after="40"/>
      </w:pPr>
      <w:r>
        <w:rPr>
          <w:b/>
          <w:bCs/>
          <w:sz w:val="18"/>
          <w:szCs w:val="18"/>
        </w:rPr>
        <w:t xml:space="preserve">LLMs &amp; Agentic AI: </w:t>
      </w:r>
      <w:r>
        <w:rPr>
          <w:sz w:val="18"/>
          <w:szCs w:val="18"/>
        </w:rPr>
        <w:t xml:space="preserve">Claude (Anthropic), GPT-4o / GPT-4o-mini, Gemini, LangGraph, LangChain, MCP (Model Context Protocol) tool gateways, multi-agent orchestration, tool calling / function calling, structured outputs, prompt engineering</w:t>
      </w:r>
    </w:p>
    <w:p>
      <w:pPr>
        <w:spacing w:after="40"/>
      </w:pPr>
      <w:r>
        <w:rPr>
          <w:b/>
          <w:bCs/>
          <w:sz w:val="18"/>
          <w:szCs w:val="18"/>
        </w:rPr>
        <w:t xml:space="preserve">RAG &amp; Retrieval: </w:t>
      </w:r>
      <w:r>
        <w:rPr>
          <w:sz w:val="18"/>
          <w:szCs w:val="18"/>
        </w:rPr>
        <w:t xml:space="preserve">Retrieval-Augmented Generation, FAISS vector database, embeddings, semantic search</w:t>
      </w:r>
    </w:p>
    <w:p>
      <w:pPr>
        <w:spacing w:after="40"/>
      </w:pPr>
      <w:r>
        <w:rPr>
          <w:b/>
          <w:bCs/>
          <w:sz w:val="18"/>
          <w:szCs w:val="18"/>
        </w:rPr>
        <w:t xml:space="preserve">Evaluation &amp; Observability: </w:t>
      </w:r>
      <w:r>
        <w:rPr>
          <w:sz w:val="18"/>
          <w:szCs w:val="18"/>
        </w:rPr>
        <w:t xml:space="preserve">LangSmith tracing, model/agent evaluation pipelines, statistical testing (McNemar's, Cochran's Q, logistic regression, chi-square), guardrails, adversarial red-teaming, human-in-the-loop controls</w:t>
      </w:r>
    </w:p>
    <w:p>
      <w:pPr>
        <w:spacing w:after="40"/>
      </w:pPr>
      <w:r>
        <w:rPr>
          <w:b/>
          <w:bCs/>
          <w:sz w:val="18"/>
          <w:szCs w:val="18"/>
        </w:rPr>
        <w:t xml:space="preserve">Data &amp; Analytics: </w:t>
      </w:r>
      <w:r>
        <w:rPr>
          <w:sz w:val="18"/>
          <w:szCs w:val="18"/>
        </w:rPr>
        <w:t xml:space="preserve">NumPy, Pandas, data pipeline design, ETL, Power BI, structured data extraction</w:t>
      </w:r>
    </w:p>
    <w:p>
      <w:pPr>
        <w:spacing w:after="40"/>
      </w:pPr>
      <w:r>
        <w:rPr>
          <w:b/>
          <w:bCs/>
          <w:sz w:val="18"/>
          <w:szCs w:val="18"/>
        </w:rPr>
        <w:t xml:space="preserve">APIs &amp; Deployment: </w:t>
      </w:r>
      <w:r>
        <w:rPr>
          <w:sz w:val="18"/>
          <w:szCs w:val="18"/>
        </w:rPr>
        <w:t xml:space="preserve">REST API design &amp; consumption, OAuth 2.0, secure credential handling, FastAPI, Streamlit Community Cloud, Cloudflare Pages/Workers, automated adversarial/QA testing, technical documentation</w:t>
      </w:r>
    </w:p>
    <w:p>
      <w:pPr>
        <w:pBdr>
          <w:bottom w:val="single" w:color="1F1F1F" w:sz="6" w:space="4"/>
        </w:pBdr>
        <w:spacing w:after="50" w:before="160"/>
      </w:pPr>
      <w:r>
        <w:rPr>
          <w:b/>
          <w:bCs/>
          <w:color w:val="1F1F1F"/>
          <w:sz w:val="21"/>
          <w:szCs w:val="21"/>
        </w:rPr>
        <w:t xml:space="preserve">WORK EXPERIENCE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H&amp;B Infotech — AI Engineer</w:t>
      </w:r>
      <w:r>
        <w:rPr>
          <w:b/>
          <w:bCs/>
          <w:sz w:val="17"/>
          <w:szCs w:val="17"/>
        </w:rPr>
        <w:t xml:space="preserve">	MAR 2024 - MAR 2025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Built ML pipelines (Python, NumPy, Pandas) to prepare and process data for model training, integrated into existing backend systems — improving analysis accuracy and reporting efficiency.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H&amp;B Infotech — Software Engineer</w:t>
      </w:r>
      <w:r>
        <w:rPr>
          <w:b/>
          <w:bCs/>
          <w:sz w:val="17"/>
          <w:szCs w:val="17"/>
        </w:rPr>
        <w:t xml:space="preserve">	MAR 2023 - MAR 2024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Engineered backend systems and data pipelines (Python, MySQL, Pandas, NumPy) powering internal reporting tools, with data validation and front-end integration work.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H&amp;B Infotech — Software Engineer Intern</w:t>
      </w:r>
      <w:r>
        <w:rPr>
          <w:b/>
          <w:bCs/>
          <w:sz w:val="17"/>
          <w:szCs w:val="17"/>
        </w:rPr>
        <w:t xml:space="preserve">	AUG 2022 - FEB 2023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Developed and validated Python-MySQL modules to support internal systems; built front-end interfaces (HTML, CSS, JavaScript, React) for internal tools.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Fusion UX Lab, University of Warwick — Play Tester</w:t>
      </w:r>
      <w:r>
        <w:rPr>
          <w:b/>
          <w:bCs/>
          <w:sz w:val="17"/>
          <w:szCs w:val="17"/>
        </w:rPr>
        <w:t xml:space="preserve">	NOV 2025 - AUG 2026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Evaluated video games and interactive systems through structured playtesting; provided user-centred feedback on usability, player experience, mechanics, and immersion-breaking issues.</w:t>
      </w:r>
    </w:p>
    <w:p>
      <w:pPr>
        <w:pBdr>
          <w:bottom w:val="single" w:color="1F1F1F" w:sz="6" w:space="4"/>
        </w:pBdr>
        <w:spacing w:after="50" w:before="160"/>
      </w:pPr>
      <w:r>
        <w:rPr>
          <w:b/>
          <w:bCs/>
          <w:color w:val="1F1F1F"/>
          <w:sz w:val="21"/>
          <w:szCs w:val="21"/>
        </w:rPr>
        <w:t xml:space="preserve">AI / ML PROJECTS</w:t>
      </w:r>
    </w:p>
    <w:p>
      <w:pPr>
        <w:spacing w:after="60"/>
      </w:pPr>
      <w:r>
        <w:rPr>
          <w:sz w:val="18"/>
          <w:szCs w:val="18"/>
        </w:rPr>
        <w:t xml:space="preserve">Six deployed systems, each paired with a published paper, built on a shared architecture (LangGraph orchestration, FAISS retrieval, Streamlit interfaces) applied to a different domain each time. Full write-ups: </w:t>
      </w:r>
      <w:hyperlink w:history="1" r:id="rIdr0w7uzlfwyebbqj0fkkow">
        <w:r>
          <w:rPr>
            <w:rStyle w:val="Hyperlink"/>
            <w:color w:val="1155CC"/>
            <w:sz w:val="18"/>
            <w:szCs w:val="18"/>
            <w:u w:val="single"/>
          </w:rPr>
          <w:t xml:space="preserve">portfolio-raj.pages.dev/#projects</w:t>
        </w:r>
      </w:hyperlink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SemiBot — Multi-Agent Causal-Chain RAG System (Flagship)</w:t>
      </w:r>
      <w:r>
        <w:rPr>
          <w:b/>
          <w:bCs/>
          <w:sz w:val="17"/>
          <w:szCs w:val="17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18-factor causal-chain RAG system tracing macro conditions to sector outcomes for semiconductor equities, with per-factor attribution rather than a single opaque verdict. LangGraph, FAISS, GPT-4o-mini, MCP/Tavily tool-gateway integration, SQLite checkpointing, LangSmith observability.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Backtested across 48 tickers x 10 dates (426 observations): accuracy scales from 84.0% (&gt;$1T) to 41.7% (mid-cap), confirmed via logistic regression (p&lt;0.001) and robust to sub-sector controls. Mega-cap subset exceeds every comparable published benchmark.</w:t>
      </w:r>
    </w:p>
    <w:p>
      <w:pPr>
        <w:spacing w:after="20"/>
      </w:pPr>
      <w:hyperlink w:history="1" r:id="rIdvfpf9-0copwxrrqxrbn4s">
        <w:r>
          <w:rPr>
            <w:rStyle w:val="Hyperlink"/>
            <w:color w:val="1155CC"/>
            <w:sz w:val="18"/>
            <w:szCs w:val="18"/>
            <w:u w:val="single"/>
          </w:rPr>
          <w:t xml:space="preserve">semibot-raj.streamlit.app</w:t>
        </w:r>
      </w:hyperlink>
      <w:r>
        <w:rPr>
          <w:sz w:val="18"/>
          <w:szCs w:val="18"/>
        </w:rPr>
        <w:t xml:space="preserve">  |  </w:t>
      </w:r>
      <w:hyperlink w:history="1" r:id="rIduzrnf_y5p5m0c2uzjkmex">
        <w:r>
          <w:rPr>
            <w:rStyle w:val="Hyperlink"/>
            <w:color w:val="1155CC"/>
            <w:sz w:val="18"/>
            <w:szCs w:val="18"/>
            <w:u w:val="single"/>
          </w:rPr>
          <w:t xml:space="preserve">GitHub</w:t>
        </w:r>
      </w:hyperlink>
      <w:r>
        <w:rPr>
          <w:sz w:val="18"/>
          <w:szCs w:val="18"/>
        </w:rPr>
        <w:t xml:space="preserve">  |  SSRN: 7199998, under review (ESWA)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GoldBot — 9-Factor Gold Safe-Haven Analyser</w:t>
      </w:r>
      <w:r>
        <w:rPr>
          <w:b/>
          <w:bCs/>
          <w:sz w:val="17"/>
          <w:szCs w:val="17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Cross-regime backtesting (4 structurally distinct historical regimes) built specifically to separate genuine event discrimination from lucky trend alignment, rather than reporting a single accuracy figure.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Diagnostic finding: across 18 distinct events (a war outbreak, a ceasefire, a historic Fed vote), Strength% output stayed within a 37-50% band (SD=4.2) — exposing trend-matching rather than true discrimination, a failure mode a single backtest would have missed.</w:t>
      </w:r>
    </w:p>
    <w:p>
      <w:pPr>
        <w:spacing w:after="20"/>
      </w:pPr>
      <w:hyperlink w:history="1" r:id="rIdp0yypumjx7bswbbofzg9g">
        <w:r>
          <w:rPr>
            <w:rStyle w:val="Hyperlink"/>
            <w:color w:val="1155CC"/>
            <w:sz w:val="18"/>
            <w:szCs w:val="18"/>
            <w:u w:val="single"/>
          </w:rPr>
          <w:t xml:space="preserve">goldbot-raj.streamlit.app</w:t>
        </w:r>
      </w:hyperlink>
      <w:r>
        <w:rPr>
          <w:sz w:val="18"/>
          <w:szCs w:val="18"/>
        </w:rPr>
        <w:t xml:space="preserve">  |  </w:t>
      </w:r>
      <w:hyperlink w:history="1" r:id="rIdq8hnqzai2dyrdkc6c5dyv">
        <w:r>
          <w:rPr>
            <w:rStyle w:val="Hyperlink"/>
            <w:color w:val="1155CC"/>
            <w:sz w:val="18"/>
            <w:szCs w:val="18"/>
            <w:u w:val="single"/>
          </w:rPr>
          <w:t xml:space="preserve">GitHub</w:t>
        </w:r>
      </w:hyperlink>
      <w:r>
        <w:rPr>
          <w:sz w:val="18"/>
          <w:szCs w:val="18"/>
        </w:rPr>
        <w:t xml:space="preserve">  |  SSRN: 7200198, under review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SilverBot — Dual-Regime Industrial/Monetary Analyser</w:t>
      </w:r>
      <w:r>
        <w:rPr>
          <w:b/>
          <w:bCs/>
          <w:sz w:val="17"/>
          <w:szCs w:val="17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Decomposes silver's price behaviour into independent Industrial and Monetary strength scores, addressing a documented gap in the classical gold/silver duality literature.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Industrial signals beat Monetary in 3 of 4 regimes (61.7% vs 40.0%, p=0.041 in the largest sample) — but the pattern cleanly reverses during the 2020 liquidity crisis (Monetary 95.0% vs Industrial 65.0%), refining the classical Batten-Ciner-Lucey framework.</w:t>
      </w:r>
    </w:p>
    <w:p>
      <w:pPr>
        <w:spacing w:after="20"/>
      </w:pPr>
      <w:hyperlink w:history="1" r:id="rIddk8rtcytw8ia122z6eovd">
        <w:r>
          <w:rPr>
            <w:rStyle w:val="Hyperlink"/>
            <w:color w:val="1155CC"/>
            <w:sz w:val="18"/>
            <w:szCs w:val="18"/>
            <w:u w:val="single"/>
          </w:rPr>
          <w:t xml:space="preserve">silverbot-raj.streamlit.app</w:t>
        </w:r>
      </w:hyperlink>
      <w:r>
        <w:rPr>
          <w:sz w:val="18"/>
          <w:szCs w:val="18"/>
        </w:rPr>
        <w:t xml:space="preserve">  |  </w:t>
      </w:r>
      <w:hyperlink w:history="1" r:id="rIdcbujwj6re9j09g31dvdsl">
        <w:r>
          <w:rPr>
            <w:rStyle w:val="Hyperlink"/>
            <w:color w:val="1155CC"/>
            <w:sz w:val="18"/>
            <w:szCs w:val="18"/>
            <w:u w:val="single"/>
          </w:rPr>
          <w:t xml:space="preserve">GitHub</w:t>
        </w:r>
      </w:hyperlink>
      <w:r>
        <w:rPr>
          <w:sz w:val="18"/>
          <w:szCs w:val="18"/>
        </w:rPr>
        <w:t xml:space="preserve">  |  SSRN: 7203201, under review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Hallucination Detector — LLM Reliability Ensemble (Flagship)</w:t>
      </w:r>
      <w:r>
        <w:rPr>
          <w:b/>
          <w:bCs/>
          <w:sz w:val="17"/>
          <w:szCs w:val="17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Six-signal ensemble (NLI, retrieval grounding, three-model LLM-judge panel, cross-sample self-consistency) as a parallel LangGraph pipeline, evaluated with formal significance testing rather than accuracy alone.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72.4-92.2% accuracy across three benchmarks. A quadrant analysis overturned the system's own design assumption: "flagged + consistent" claims were 100% real hallucinations (n=4), beating the architecture's own "high-confidence" category (66.7%).</w:t>
      </w:r>
    </w:p>
    <w:p>
      <w:pPr>
        <w:spacing w:after="20"/>
      </w:pPr>
      <w:hyperlink w:history="1" r:id="rIduilide38r1r-dt8fbxcc-">
        <w:r>
          <w:rPr>
            <w:rStyle w:val="Hyperlink"/>
            <w:color w:val="1155CC"/>
            <w:sz w:val="18"/>
            <w:szCs w:val="18"/>
            <w:u w:val="single"/>
          </w:rPr>
          <w:t xml:space="preserve">hallucinationdetecto.streamlit.app</w:t>
        </w:r>
      </w:hyperlink>
      <w:r>
        <w:rPr>
          <w:sz w:val="18"/>
          <w:szCs w:val="18"/>
        </w:rPr>
        <w:t xml:space="preserve">  |  </w:t>
      </w:r>
      <w:hyperlink w:history="1" r:id="rIdoj18p0ldrelfi4ded9srh">
        <w:r>
          <w:rPr>
            <w:rStyle w:val="Hyperlink"/>
            <w:color w:val="1155CC"/>
            <w:sz w:val="18"/>
            <w:szCs w:val="18"/>
            <w:u w:val="single"/>
          </w:rPr>
          <w:t xml:space="preserve">GitHub</w:t>
        </w:r>
      </w:hyperlink>
      <w:r>
        <w:rPr>
          <w:sz w:val="18"/>
          <w:szCs w:val="18"/>
        </w:rPr>
        <w:t xml:space="preserve">  |  SSRN: 7200222, under review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HITL Email Agent — Human-in-the-Loop LangGraph Agent (Repo only)</w:t>
      </w:r>
      <w:r>
        <w:rPr>
          <w:b/>
          <w:bCs/>
          <w:sz w:val="17"/>
          <w:szCs w:val="17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Human-in-the-loop email drafting agent that never sends without approval. Binary Response/Ignore triage stage, full multi-turn interrupt/resume via LangGraph, dual Gmail OAuth, and a Manifest V3 Chrome extension for inline drafting alongside a standalone Streamlit interface.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Zero secrets exposed across the full repo history, independently verified. Two parallel interfaces (v1 Streamlit, v2 Chrome extension with version-history tabs) shipped and maintained side by side.</w:t>
      </w:r>
    </w:p>
    <w:p>
      <w:pPr>
        <w:spacing w:after="20"/>
      </w:pPr>
      <w:hyperlink w:history="1" r:id="rIdyrptpbykcwgk5ylcgztfs">
        <w:r>
          <w:rPr>
            <w:rStyle w:val="Hyperlink"/>
            <w:color w:val="1155CC"/>
            <w:sz w:val="18"/>
            <w:szCs w:val="18"/>
            <w:u w:val="single"/>
          </w:rPr>
          <w:t xml:space="preserve">GitHub</w:t>
        </w:r>
      </w:hyperlink>
      <w:r>
        <w:rPr>
          <w:sz w:val="18"/>
          <w:szCs w:val="18"/>
        </w:rPr>
        <w:t xml:space="preserve"> — open-source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Retail Research Assistant — Full S&amp;P 500 Research Platform</w:t>
      </w:r>
      <w:r>
        <w:rPr>
          <w:b/>
          <w:bCs/>
          <w:sz w:val="17"/>
          <w:szCs w:val="17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Full-coverage discovery, research, comparison, and portfolio analysis across all 503 S&amp;P 500 constituents, spanning six pages from dashboard to guided learning. Governing principle: the LLM narrates what the data shows — it never tells the user what to buy.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sz w:val="18"/>
          <w:szCs w:val="18"/>
        </w:rPr>
        <w:t xml:space="preserve">Passed a 100-question adversarial safety test, 100/100, results committed to the repo. Implements 9 of 10 recognized agentic-AI design patterns, with the one omission (MCP) explicitly justified rather than silently skipped.</w:t>
      </w:r>
    </w:p>
    <w:p>
      <w:pPr>
        <w:spacing w:after="20"/>
      </w:pPr>
      <w:hyperlink w:history="1" r:id="rId_hc1pjxf5afukucgcfqu_">
        <w:r>
          <w:rPr>
            <w:rStyle w:val="Hyperlink"/>
            <w:color w:val="1155CC"/>
            <w:sz w:val="18"/>
            <w:szCs w:val="18"/>
            <w:u w:val="single"/>
          </w:rPr>
          <w:t xml:space="preserve">retailresearch-raj.streamlit.app</w:t>
        </w:r>
      </w:hyperlink>
      <w:r>
        <w:rPr>
          <w:sz w:val="18"/>
          <w:szCs w:val="18"/>
        </w:rPr>
        <w:t xml:space="preserve">  |  </w:t>
      </w:r>
      <w:hyperlink w:history="1" r:id="rIdmriqos4d-aun919rqaaeh">
        <w:r>
          <w:rPr>
            <w:rStyle w:val="Hyperlink"/>
            <w:color w:val="1155CC"/>
            <w:sz w:val="18"/>
            <w:szCs w:val="18"/>
            <w:u w:val="single"/>
          </w:rPr>
          <w:t xml:space="preserve">GitHub</w:t>
        </w:r>
      </w:hyperlink>
    </w:p>
    <w:p>
      <w:pPr>
        <w:pBdr>
          <w:bottom w:val="single" w:color="1F1F1F" w:sz="6" w:space="4"/>
        </w:pBdr>
        <w:spacing w:after="50" w:before="160"/>
      </w:pPr>
      <w:r>
        <w:rPr>
          <w:b/>
          <w:bCs/>
          <w:color w:val="1F1F1F"/>
          <w:sz w:val="21"/>
          <w:szCs w:val="21"/>
        </w:rPr>
        <w:t xml:space="preserve">PUBLICATIONS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A Domain-Specific Causal Chain RAG System for Semiconductor Equity Analysis </w:t>
      </w:r>
      <w:r>
        <w:rPr>
          <w:sz w:val="18"/>
          <w:szCs w:val="18"/>
        </w:rPr>
        <w:t xml:space="preserve">— SemiBot. SSRN 7199998, under review. Presented at University of Warwick.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GoldBot: A Multi-Factor Safe-Haven Analyzer for Gold </w:t>
      </w:r>
      <w:r>
        <w:rPr>
          <w:sz w:val="18"/>
          <w:szCs w:val="18"/>
        </w:rPr>
        <w:t xml:space="preserve">— Cross-Regime Evidence for Trend-Matching Rather Than Event Discrimination. SSRN 7200198, under review.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SilverBot: A Dual-Regime Analyzer for Silver's Industrial-Monetary Duality </w:t>
      </w:r>
      <w:r>
        <w:rPr>
          <w:sz w:val="18"/>
          <w:szCs w:val="18"/>
        </w:rPr>
        <w:t xml:space="preserve">— Cross-Regime Evidence for a Crisis-Type-Dependent Reversal. SSRN 7203201, under review.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Multi-Method Ensemble Framework for LLM Hallucination Detection. </w:t>
      </w:r>
      <w:r>
        <w:rPr>
          <w:sz w:val="18"/>
          <w:szCs w:val="18"/>
        </w:rPr>
        <w:t xml:space="preserve">SSRN 7200222, under review. Presented at University of Warwick.</w:t>
      </w:r>
    </w:p>
    <w:p>
      <w:pPr>
        <w:pBdr>
          <w:bottom w:val="single" w:color="1F1F1F" w:sz="6" w:space="4"/>
        </w:pBdr>
        <w:spacing w:after="50" w:before="160"/>
      </w:pPr>
      <w:r>
        <w:rPr>
          <w:b/>
          <w:bCs/>
          <w:color w:val="1F1F1F"/>
          <w:sz w:val="21"/>
          <w:szCs w:val="21"/>
        </w:rPr>
        <w:t xml:space="preserve">DISSERTATION</w:t>
      </w:r>
    </w:p>
    <w:p>
      <w:pPr>
        <w:spacing w:after="40"/>
      </w:pPr>
      <w:r>
        <w:rPr>
          <w:b/>
          <w:bCs/>
          <w:sz w:val="18"/>
          <w:szCs w:val="18"/>
        </w:rPr>
        <w:t xml:space="preserve">Understanding the Role of Artificial Intelligence in Life Cycle Assessment</w:t>
      </w:r>
      <w:r>
        <w:rPr>
          <w:sz w:val="18"/>
          <w:szCs w:val="18"/>
        </w:rPr>
        <w:t xml:space="preserve"> — supervised by Dr. You Wu, WMG, University of Warwick. Complete, September 2026.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Obj. 1 — Landscape Review: </w:t>
      </w:r>
      <w:r>
        <w:rPr>
          <w:sz w:val="18"/>
          <w:szCs w:val="18"/>
        </w:rPr>
        <w:t xml:space="preserve">Systematic literature review (538 papers screened from 1,509 candidates, 209 analysed in full) plus a structured review of 8 commercial AI-powered LCA platforms against the four ISO 14040/14044 stages. Finding: none of the 8 platforms target AI-assisted goal-and-scope drafting — the gap Objective 3 addresses.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Obj. 2 — Applied ML on LCI Data: </w:t>
      </w:r>
      <w:r>
        <w:rPr>
          <w:sz w:val="18"/>
          <w:szCs w:val="18"/>
        </w:rPr>
        <w:t xml:space="preserve">Multi-method unsupervised learning on ecoinvent 3.11 (25,412 records). Reduced 68 redundant climate indicators to 7 distinct features; cross-validated 3 clustering algorithms and 2 anomaly detectors. KMeans/Agglomerative converged (silhouette 0.689/0.686); Isolation Forest flagged 509 anomalies (2%), traced to a genuine data artefact.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Obj. 3 — LLM Evaluation on LCA Tasks: </w:t>
      </w:r>
      <w:r>
        <w:rPr>
          <w:sz w:val="18"/>
          <w:szCs w:val="18"/>
        </w:rPr>
        <w:t xml:space="preserve">Evaluated 6 LLMs (Claude Haiku 4.5, GPT-4o-mini, GPT-5.6 Terra, Gemini 3.5 Flash, Llama 3.3 70B, GPT-OSS 120B) on structured extraction and ISO 14044 drafting. A harder, paraphrased variant dropped accuracy by up to 65 points (GPT-4o-mini 91%-&gt;26%); Gemini 3.5 Flash held up best (100%-&gt;86%), significantly outperforming the two weakest models (Cochran's Q=66.7, p&lt;0.000001).</w:t>
      </w:r>
    </w:p>
    <w:p>
      <w:pPr>
        <w:pBdr>
          <w:bottom w:val="single" w:color="1F1F1F" w:sz="6" w:space="4"/>
        </w:pBdr>
        <w:spacing w:after="50" w:before="160"/>
      </w:pPr>
      <w:r>
        <w:rPr>
          <w:b/>
          <w:bCs/>
          <w:color w:val="1F1F1F"/>
          <w:sz w:val="21"/>
          <w:szCs w:val="21"/>
        </w:rPr>
        <w:t xml:space="preserve">EDUCATION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University of Warwick, WMG — MSc Applied Artificial Intelligence</w:t>
      </w:r>
      <w:r>
        <w:rPr>
          <w:b/>
          <w:bCs/>
          <w:sz w:val="17"/>
          <w:szCs w:val="17"/>
        </w:rPr>
        <w:t xml:space="preserve">	SEP 2025 - SEP 2026</w:t>
      </w:r>
    </w:p>
    <w:p>
      <w:pPr>
        <w:tabs>
          <w:tab w:val="right" w:pos="9648"/>
        </w:tabs>
        <w:spacing w:after="6" w:before="60"/>
      </w:pPr>
      <w:r>
        <w:rPr>
          <w:b/>
          <w:bCs/>
          <w:sz w:val="19"/>
          <w:szCs w:val="19"/>
        </w:rPr>
        <w:t xml:space="preserve">Gujarat Technological University — BEng, Computer Science and Engineering</w:t>
      </w:r>
      <w:r>
        <w:rPr>
          <w:b/>
          <w:bCs/>
          <w:sz w:val="17"/>
          <w:szCs w:val="17"/>
        </w:rPr>
        <w:t xml:space="preserve">	AUG 2021 - MAY 2025</w:t>
      </w:r>
    </w:p>
    <w:p>
      <w:pPr>
        <w:spacing w:after="20"/>
      </w:pPr>
      <w:r>
        <w:rPr>
          <w:b/>
          <w:bCs/>
          <w:sz w:val="18"/>
          <w:szCs w:val="18"/>
        </w:rPr>
        <w:t xml:space="preserve">CGPA: </w:t>
      </w:r>
      <w:r>
        <w:rPr>
          <w:sz w:val="18"/>
          <w:szCs w:val="18"/>
        </w:rPr>
        <w:t xml:space="preserve">8.49/10</w:t>
      </w:r>
    </w:p>
    <w:p>
      <w:pPr>
        <w:pBdr>
          <w:bottom w:val="single" w:color="1F1F1F" w:sz="6" w:space="4"/>
        </w:pBdr>
        <w:spacing w:after="50" w:before="160"/>
      </w:pPr>
      <w:r>
        <w:rPr>
          <w:b/>
          <w:bCs/>
          <w:color w:val="1F1F1F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Financial Markets</w:t>
      </w:r>
      <w:r>
        <w:rPr>
          <w:sz w:val="18"/>
          <w:szCs w:val="18"/>
        </w:rPr>
        <w:t xml:space="preserve"> — Coursera, Yale University, taught by Prof. Robert Shiller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GenAI Enhanced Financial Analysis Specialization</w:t>
      </w:r>
      <w:r>
        <w:rPr>
          <w:sz w:val="18"/>
          <w:szCs w:val="18"/>
        </w:rPr>
        <w:t xml:space="preserve"> — Coursera, Microsoft (Generative AI, Excel Copilot &amp; Power BI for financial forecasting)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b/>
          <w:bCs/>
          <w:sz w:val="18"/>
          <w:szCs w:val="18"/>
        </w:rPr>
        <w:t xml:space="preserve">Generative AI Engineering</w:t>
      </w:r>
      <w:r>
        <w:rPr>
          <w:sz w:val="18"/>
          <w:szCs w:val="18"/>
        </w:rPr>
        <w:t xml:space="preserve"> — Coursera, IBM</w:t>
      </w:r>
    </w:p>
    <w:p>
      <w:pPr>
        <w:spacing w:before="200"/>
        <w:jc w:val="center"/>
      </w:pPr>
      <w:r>
        <w:rPr>
          <w:i/>
          <w:iCs/>
          <w:color w:val="666666"/>
          <w:sz w:val="16"/>
          <w:szCs w:val="16"/>
        </w:rPr>
        <w:t xml:space="preserve">References available on request</w:t>
      </w:r>
    </w:p>
    <w:p>
      <w:pPr>
        <w:spacing w:before="60"/>
        <w:jc w:val="center"/>
      </w:pPr>
      <w:r>
        <w:rPr>
          <w:i/>
          <w:iCs/>
          <w:color w:val="666666"/>
          <w:sz w:val="16"/>
          <w:szCs w:val="16"/>
        </w:rPr>
        <w:t xml:space="preserve">Right to work: UK Graduate visa (PSW route) — 2 years' unrestricted right to work, no sponsorship required</w:t>
      </w:r>
    </w:p>
    <w:sectPr>
      <w:pgSz w:w="11906" w:h="16838" w:orient="portrait"/>
      <w:pgMar w:top="380" w:right="560" w:bottom="38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m2gdwddr25aenoavza6" Type="http://schemas.openxmlformats.org/officeDocument/2006/relationships/hyperlink" Target="https://portfolio-raj.pages.dev/" TargetMode="External"/><Relationship Id="rIdm1h7niqu8knd1uz7ah3rs" Type="http://schemas.openxmlformats.org/officeDocument/2006/relationships/hyperlink" Target="https://linkedin.com/in/raj-khatik-6ab086395" TargetMode="External"/><Relationship Id="rIdujsvtok8aczw7tghqbicw" Type="http://schemas.openxmlformats.org/officeDocument/2006/relationships/hyperlink" Target="https://github.com/khatikraj2653-collab" TargetMode="External"/><Relationship Id="rIdr0w7uzlfwyebbqj0fkkow" Type="http://schemas.openxmlformats.org/officeDocument/2006/relationships/hyperlink" Target="https://portfolio-raj.pages.dev/#projects" TargetMode="External"/><Relationship Id="rIdvfpf9-0copwxrrqxrbn4s" Type="http://schemas.openxmlformats.org/officeDocument/2006/relationships/hyperlink" Target="https://semibot-raj.streamlit.app" TargetMode="External"/><Relationship Id="rIduzrnf_y5p5m0c2uzjkmex" Type="http://schemas.openxmlformats.org/officeDocument/2006/relationships/hyperlink" Target="https://github.com/khatikraj2653-collab/SemiBot" TargetMode="External"/><Relationship Id="rIdp0yypumjx7bswbbofzg9g" Type="http://schemas.openxmlformats.org/officeDocument/2006/relationships/hyperlink" Target="https://goldbot-raj.streamlit.app" TargetMode="External"/><Relationship Id="rIdq8hnqzai2dyrdkc6c5dyv" Type="http://schemas.openxmlformats.org/officeDocument/2006/relationships/hyperlink" Target="https://github.com/khatikraj2653-collab/GoldBot" TargetMode="External"/><Relationship Id="rIddk8rtcytw8ia122z6eovd" Type="http://schemas.openxmlformats.org/officeDocument/2006/relationships/hyperlink" Target="https://silverbot-raj.streamlit.app" TargetMode="External"/><Relationship Id="rIdcbujwj6re9j09g31dvdsl" Type="http://schemas.openxmlformats.org/officeDocument/2006/relationships/hyperlink" Target="https://github.com/khatikraj2653-collab/SilverBot" TargetMode="External"/><Relationship Id="rIduilide38r1r-dt8fbxcc-" Type="http://schemas.openxmlformats.org/officeDocument/2006/relationships/hyperlink" Target="https://hallucinationdetecto.streamlit.app" TargetMode="External"/><Relationship Id="rIdoj18p0ldrelfi4ded9srh" Type="http://schemas.openxmlformats.org/officeDocument/2006/relationships/hyperlink" Target="https://github.com/khatikraj2653-collab/HallucinationDetecto" TargetMode="External"/><Relationship Id="rIdyrptpbykcwgk5ylcgztfs" Type="http://schemas.openxmlformats.org/officeDocument/2006/relationships/hyperlink" Target="https://github.com/khatikraj2653-collab/EmailHITLAgent" TargetMode="External"/><Relationship Id="rId_hc1pjxf5afukucgcfqu_" Type="http://schemas.openxmlformats.org/officeDocument/2006/relationships/hyperlink" Target="https://retailresearch-raj.streamlit.app" TargetMode="External"/><Relationship Id="rIdmriqos4d-aun919rqaaeh" Type="http://schemas.openxmlformats.org/officeDocument/2006/relationships/hyperlink" Target="https://github.com/khatikraj2653-collab/RetailResearchAssistant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2026-08-15T06:50:05.553Z</dcterms:created>
  <dcterms:modified xsi:type="dcterms:W3CDTF">2026-08-15T06:50:05.565Z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